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2016/145 vom 23. August 2016</w:t>
      </w:r>
    </w:p>
    <w:p>
      <w:r>
        <w:t>Sg Verwaltungsgericht, 2016-08-23, DE</w:t>
      </w:r>
    </w:p>
    <w:p>
      <w:r>
        <w:rPr>
          <w:b/>
        </w:rPr>
        <w:t xml:space="preserve">Quelle: </w:t>
      </w:r>
      <w:r>
        <w:t>https://mcp.opencaselaw.ch/entscheid/sg_publikationen_B 2016_145</w:t>
      </w:r>
    </w:p>
    <w:p>
      <w:r>
        <w:t>FR: SG_VERWALTUNGSGERICHT B 2016/145 du 23 août 2016</w:t>
      </w:r>
    </w:p>
    <w:p>
      <w:r>
        <w:t>IT: SG_VERWALTUNGSGERICHT B 2016/145 del 23 agosto 2016</w:t>
      </w:r>
    </w:p>
    <w:p>
      <w:pPr>
        <w:pStyle w:val="Heading2"/>
      </w:pPr>
      <w:r>
        <w:t>Regeste</w:t>
      </w:r>
    </w:p>
    <w:p>
      <w:r>
        <w:t>Verfahren, Art. 98ter VRP. Die Beschwerdebeteiligte hat im Beschwerdeverfahren keinen Antrag auf Entschädigung ausseramtlicher Kosten gestellt. Sie kann einen solchen Antrag nicht durch Einreichung einer Kostennote nach der bundesgerichtlichen Rückweisung der Angelegenheit einzig zur Neuregelung der Kosten im kantonalen Verfahren nachholen (Verwaltungsgericht, B 2016/145). Entscheid vom 23. August 2016</w:t>
      </w:r>
    </w:p>
    <w:p>
      <w:pPr>
        <w:pStyle w:val="Heading2"/>
      </w:pPr>
      <w:r>
        <w:t>Erwägungen</w:t>
      </w:r>
    </w:p>
    <w:p>
      <w:r>
        <w:rPr>
          <w:b/>
        </w:rPr>
        <w:t>E. 1</w:t>
      </w:r>
    </w:p>
    <w:p>
      <w:r>
        <w:t>Das Bundesgericht hat mit dem Urteil vom 16. Juni 2016 den Anträgen der Beschwerdebeteiligten entsprochen und die Befreiung des Beschwerdegegners vom Berufsgeheimnis durch die Vorinstanz vom 19. September 2013 bestätigt. Dieses Ergebnis entspricht einer Abweisung der Beschwerde im Verfahren vor dem Verwaltungsgericht.</w:t>
      </w:r>
    </w:p>
    <w:p>
      <w:r>
        <w:rPr>
          <w:b/>
        </w:rPr>
        <w:t>E. 2</w:t>
      </w:r>
    </w:p>
    <w:p>
      <w:r>
        <w:t>Ausseramtliche Kosten werden für das Beschwerdeverfahren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